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991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br/>
        <w:t>Text extras din: </w:t>
      </w:r>
      <w:proofErr w:type="spellStart"/>
      <w:r w:rsidRPr="00667C4C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  <w:t>OUG</w:t>
      </w:r>
      <w:proofErr w:type="spellEnd"/>
      <w:r w:rsidRPr="00667C4C"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  <w:t xml:space="preserve"> 120/2024</w:t>
      </w:r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 - 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Ordonanţa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nr. 120/2024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instituirea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scheme de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ajutor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de stat sub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formă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de grant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acordat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i/>
          <w:iCs/>
          <w:color w:val="333333"/>
          <w:kern w:val="0"/>
          <w:sz w:val="26"/>
          <w:szCs w:val="26"/>
          <w:lang w:eastAsia="en-GB"/>
          <w14:ligatures w14:val="none"/>
        </w:rPr>
        <w:t xml:space="preserve"> 2023-august 2024</w:t>
      </w:r>
    </w:p>
    <w:p w14:paraId="4E6F37D0" w14:textId="77777777" w:rsidR="00667C4C" w:rsidRPr="00667C4C" w:rsidRDefault="00667C4C" w:rsidP="00667C4C">
      <w:pPr>
        <w:shd w:val="clear" w:color="auto" w:fill="FFFFFF"/>
        <w:spacing w:after="0" w:line="240" w:lineRule="auto"/>
        <w:jc w:val="both"/>
        <w:outlineLvl w:val="2"/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  <w:t>Guvernul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  <w:t>României</w:t>
      </w:r>
      <w:proofErr w:type="spellEnd"/>
    </w:p>
    <w:p w14:paraId="1BBCF756" w14:textId="77777777" w:rsidR="00667C4C" w:rsidRPr="00667C4C" w:rsidRDefault="00667C4C" w:rsidP="00667C4C">
      <w:pPr>
        <w:shd w:val="clear" w:color="auto" w:fill="FFFFFF"/>
        <w:spacing w:after="75" w:line="450" w:lineRule="atLeast"/>
        <w:jc w:val="both"/>
        <w:outlineLvl w:val="0"/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</w:pP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Ordonanţa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urgenţă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nr. 120/2024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privind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instituirea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unei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scheme de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ajutor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de stat sub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formă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de grant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acordat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producătorilor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agricoli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pentru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culturi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agricole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afectate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seceta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pedologică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perioada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>septembrie</w:t>
      </w:r>
      <w:proofErr w:type="spellEnd"/>
      <w:r w:rsidRPr="00667C4C">
        <w:rPr>
          <w:rFonts w:ascii="Cambria" w:eastAsia="Times New Roman" w:hAnsi="Cambria" w:cs="Calibri"/>
          <w:color w:val="2A76A7"/>
          <w:kern w:val="36"/>
          <w:sz w:val="30"/>
          <w:szCs w:val="30"/>
          <w:lang w:eastAsia="en-GB"/>
          <w14:ligatures w14:val="none"/>
        </w:rPr>
        <w:t xml:space="preserve"> 2023-august 2024</w:t>
      </w:r>
    </w:p>
    <w:p w14:paraId="3B6970BD" w14:textId="77777777" w:rsidR="00667C4C" w:rsidRPr="00667C4C" w:rsidRDefault="00667C4C" w:rsidP="00667C4C">
      <w:pPr>
        <w:shd w:val="clear" w:color="auto" w:fill="FFFFFF"/>
        <w:spacing w:after="450" w:line="240" w:lineRule="auto"/>
        <w:jc w:val="both"/>
        <w:outlineLvl w:val="2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  <w:t>vigoare</w:t>
      </w:r>
      <w:proofErr w:type="spellEnd"/>
      <w:r w:rsidRPr="00667C4C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  <w:t xml:space="preserve"> de la 15 </w:t>
      </w:r>
      <w:proofErr w:type="spellStart"/>
      <w:r w:rsidRPr="00667C4C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  <w:t>octombrie</w:t>
      </w:r>
      <w:proofErr w:type="spellEnd"/>
      <w:r w:rsidRPr="00667C4C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  <w:t xml:space="preserve"> 2024</w:t>
      </w:r>
    </w:p>
    <w:p w14:paraId="5716DBF9" w14:textId="77777777" w:rsidR="00667C4C" w:rsidRPr="00667C4C" w:rsidRDefault="00667C4C" w:rsidP="00667C4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Publicat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Monitorul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Oficial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Partea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I nr. 1034 din 15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octombrie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2024.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Formă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aplicabilă</w:t>
      </w:r>
      <w:proofErr w:type="spellEnd"/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 xml:space="preserve"> la zi, </w:t>
      </w:r>
      <w:r w:rsidRPr="00667C4C">
        <w:rPr>
          <w:rFonts w:ascii="Calibri" w:eastAsia="Times New Roman" w:hAnsi="Calibri" w:cs="Calibri"/>
          <w:b/>
          <w:bCs/>
          <w:color w:val="444444"/>
          <w:kern w:val="0"/>
          <w:sz w:val="26"/>
          <w:szCs w:val="26"/>
          <w:bdr w:val="single" w:sz="6" w:space="2" w:color="000000" w:frame="1"/>
          <w:lang w:eastAsia="en-GB"/>
          <w14:ligatures w14:val="none"/>
        </w:rPr>
        <w:t xml:space="preserve">17 </w:t>
      </w:r>
      <w:proofErr w:type="spellStart"/>
      <w:r w:rsidRPr="00667C4C">
        <w:rPr>
          <w:rFonts w:ascii="Calibri" w:eastAsia="Times New Roman" w:hAnsi="Calibri" w:cs="Calibri"/>
          <w:b/>
          <w:bCs/>
          <w:color w:val="444444"/>
          <w:kern w:val="0"/>
          <w:sz w:val="26"/>
          <w:szCs w:val="26"/>
          <w:bdr w:val="single" w:sz="6" w:space="2" w:color="000000" w:frame="1"/>
          <w:lang w:eastAsia="en-GB"/>
          <w14:ligatures w14:val="none"/>
        </w:rPr>
        <w:t>octombrie</w:t>
      </w:r>
      <w:proofErr w:type="spellEnd"/>
      <w:r w:rsidRPr="00667C4C">
        <w:rPr>
          <w:rFonts w:ascii="Calibri" w:eastAsia="Times New Roman" w:hAnsi="Calibri" w:cs="Calibri"/>
          <w:b/>
          <w:bCs/>
          <w:color w:val="444444"/>
          <w:kern w:val="0"/>
          <w:sz w:val="26"/>
          <w:szCs w:val="26"/>
          <w:bdr w:val="single" w:sz="6" w:space="2" w:color="000000" w:frame="1"/>
          <w:lang w:eastAsia="en-GB"/>
          <w14:ligatures w14:val="none"/>
        </w:rPr>
        <w:t xml:space="preserve"> 2024</w:t>
      </w:r>
      <w:r w:rsidRPr="00667C4C"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  <w:t>.</w:t>
      </w:r>
    </w:p>
    <w:p w14:paraId="2301CD14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Întrucât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parcursul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 s-au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lipsă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semnificativă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temperaturi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sol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mult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ridicate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raport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mediile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multianuale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1991-2020,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indus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accentuată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aproape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regiunile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provocat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diminuarea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răsăririi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cultivate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toamna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primăvara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dus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cultivate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grade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diferite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17254824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ţinând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faptul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cursul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2024,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meteorologic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nefavorabil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asimilat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semnalată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Academia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Ştiinţe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Agricole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Silvice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"Gheorghe Ionescu-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Şişeşti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emis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caracterizări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negativ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asupra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temperaturilor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sol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ridicate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limita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reduse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rezervei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umiditate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redusă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implicaţii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negative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nivelul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securităţii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alimentare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populaţiei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hranei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animalele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fermă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0C4D58A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agrometeorologice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program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agrometeorologic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referitoare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cantităţile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lunare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rezervei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umiditate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profile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0-20 cm, 0-50 cm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0-100 cm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intensitatea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arşiţă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lunile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iunie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-august 2024,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Caracterizările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agrometeorologice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realizate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cultivate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datorită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menţinerii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stresului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hidric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asociat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cel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termic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sol,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/compromise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situate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sud-estul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0E4FEF9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deoarece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2023-31 august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regimul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pluviometric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secetos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moderat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secetos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sub 600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litri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sud-estul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centrul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lastRenderedPageBreak/>
        <w:t>teritoriului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excepţia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restrânse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unde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s-au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cumulat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cantităţi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ridicate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deosebit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249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600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litri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Muntenia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Moldova,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Oltenia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extinse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Dobrogea, Banat,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Crişana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Transilvania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izolat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nord-vestul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Maramureşului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normale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600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700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litri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local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centrul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Transilvaniei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izolat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Crişanei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vestul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Banatului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Maramureşului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2BA8432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ţinând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Academia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Ştiinţe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Agricole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Silvice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"Gheorghe Ionescu-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Şişeşti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zonele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influenţă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unităţilor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cercetare-dezvoltare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domeniul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evoluţia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climatice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rezervei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sol,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evoluţiei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temperaturilor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nivelul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vegetaţie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aceeaşi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teren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cultivate,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relevă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existenţa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71254FA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cultivate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zonele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Banat,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Crişana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Maramureş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Dobrogea, Moldova,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Muntenia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Oltenia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Transilvania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diverse grade,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compromitere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moderată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puternică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extremă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manifestată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3F6E0972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activate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măsurile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acţiunile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Regulamentul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gestionarea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generate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periculoase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Ordinul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afacerilor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interne </w:t>
      </w:r>
      <w:hyperlink r:id="rId4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97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/63/2020,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7B6D286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rezultatele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centralizării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Centrul Operativ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rapoartele-sinteză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asociate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meteorologic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comitetele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judeţene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:</w:t>
      </w:r>
    </w:p>
    <w:p w14:paraId="25B447B8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număr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16.000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încheierea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înfiinţate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toamna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2023;</w:t>
      </w:r>
    </w:p>
    <w:p w14:paraId="1030363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înfiinţate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toamna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319.000 ha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72.000 ha cu grade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50%,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100.000 ha cu grade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70%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146.000 ha cu grade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70%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100%;</w:t>
      </w:r>
    </w:p>
    <w:p w14:paraId="249B88D6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s-a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număr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220.000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înfiinţate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primăvara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7DDD3276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d)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înfiinţate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primăvara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1.700.000 ha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121.000 ha cu grade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50%,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270.000 ha cu grade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70%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1.300.000 ha cu grade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70%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100%,</w:t>
      </w:r>
    </w:p>
    <w:p w14:paraId="29E5C5F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lastRenderedPageBreak/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părţii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II-a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capitolul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secţiunea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1.2.1.2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Orientările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sectoarele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forestier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zonele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Jurnalul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Oficial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6EE85A3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înţelegând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gestionarea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plan economic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social,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generată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creşterile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accentuate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preţurilor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resurse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materiale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energie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electrică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gaze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vulnerabilităţii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220.000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nivel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vegetaţie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diminuarea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drastică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compromitere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obţinute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adoptarea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normativ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regim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62D8CBE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faptul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sus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menţionate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securitatea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alimentară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României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semnificativ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periclitată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reglementării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fără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întârziere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aspecte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ţinând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seama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nepromovarea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regim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normativ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consecinţe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negative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:</w:t>
      </w:r>
    </w:p>
    <w:p w14:paraId="3212A566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riscul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major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distorsionare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pieţelor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raportul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cerere-ofertă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un impact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negativ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asupra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evoluţiei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preţurilor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vegetal;</w:t>
      </w:r>
    </w:p>
    <w:p w14:paraId="105FFD0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creşterea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gradului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vulnerabilitate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cauza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lipsei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resurselor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achiziţia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resurselor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materiale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efectuarea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specifice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campaniilor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2024-2025,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actualele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economico-financiare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dificile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4D7B514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riscul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major ca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importantă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fermierilor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achita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contractuale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furnizori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leasinguri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salarii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termenele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scadente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supraîndatoreze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continua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activitatea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0EEB140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d)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riscul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abandonului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activităţii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datorat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lipsei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resurselor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datorat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cedării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terenuri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deţinute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proprietate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datoriilor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scadente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6B6BF93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e)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impact social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negativ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major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asupra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fermierilor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membrilor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familiilor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veniturile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activităţi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posibil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impact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abandonarea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cultivării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terenurilor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faliment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2845181D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întrucât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elementele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definesc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un context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excepţional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vizează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interesele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economice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României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7DBAD5B1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faptului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elemente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vizează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interesul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general public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constituie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extraordinară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reglementare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amânată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03A4DA3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temeiul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art. 115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"https://lege5.ro/App/Document/gq4deojv/constitutia-romaniei-republicata-in-2003?pid=43226770&amp;d=2024-10-17" \l "p-43226770"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(4)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Constituţia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României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republicată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</w:t>
      </w:r>
    </w:p>
    <w:p w14:paraId="6655489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Guvernul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României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adoptă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70CE1740" w14:textId="77777777" w:rsidR="00667C4C" w:rsidRPr="00667C4C" w:rsidRDefault="00667C4C" w:rsidP="00667C4C">
      <w:pPr>
        <w:shd w:val="clear" w:color="auto" w:fill="FFFFFF"/>
        <w:spacing w:before="450" w:after="0" w:line="240" w:lineRule="auto"/>
        <w:jc w:val="center"/>
        <w:outlineLvl w:val="1"/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>CAPITOLUL</w:t>
      </w:r>
      <w:proofErr w:type="spellEnd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>I</w:t>
      </w:r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Dispoziţii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generale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domeniul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aplicare</w:t>
      </w:r>
      <w:proofErr w:type="spellEnd"/>
    </w:p>
    <w:p w14:paraId="2D5EE903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1. -</w:t>
      </w:r>
    </w:p>
    <w:p w14:paraId="2D1DEE2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lastRenderedPageBreak/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Prin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recunoaşte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manifestată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areale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extinse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nivel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2024,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meteorologic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nefavorabil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asimilat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instituie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sub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formă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grant,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denumită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obiectiv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compensaţii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cultivat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70474F9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 august 2024,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meteorologic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nefavorabil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asimilat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semnalată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analize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lunare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realizate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Academia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Ştiinţe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Agricole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Silvice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"Gheorghe Ionescu-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Şişeşti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caracterizări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negativ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asupra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temperaturilor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sol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ridicate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limita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reduse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rezervei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umiditate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redusă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7AC58834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Schema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"https://lege5.ro/App/Document/ge2tqojwgu4dg/ordonanta-de-urgenta-nr-120-2024-privind-instituirea-unei-scheme-de-ajutor-de-stat-sub-forma-de-grant-acordat-producatorilor-agricoli-pentru-culturi-agricole-afectate-de-seceta-pedologica-din-perioada?pid=594923162&amp;d=2024-10-17" \l "p-594923162"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are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înscrise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Regulamentului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gestionarea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generate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periculoase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Ordinul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afacerilor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interne </w:t>
      </w:r>
      <w:hyperlink r:id="rId5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97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hyperlink r:id="rId6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63/2020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7073B3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(4)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Schema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"https://lege5.ro/App/Document/ge2tqojwgu4dg/ordonanta-de-urgenta-nr-120-2024-privind-instituirea-unei-scheme-de-ajutor-de-stat-sub-forma-de-grant-acordat-producatorilor-agricoli-pentru-culturi-agricole-afectate-de-seceta-pedologica-din-perioada?pid=594923162&amp;d=2024-10-17" \l "p-594923162"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s-a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notificat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Comisiei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temeiul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art. 108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"https://lege5.ro/App/Document/gm2doojzgy/tratat-privind-functionarea-uniunii-europene?pid=64095300&amp;d=2024-10-17" \l "p-64095300"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Tratatul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funcţionarea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3B76638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(5)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Schema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"https://lege5.ro/App/Document/ge2tqojwgu4dg/ordonanta-de-urgenta-nr-120-2024-privind-instituirea-unei-scheme-de-ajutor-de-stat-sub-forma-de-grant-acordat-producatorilor-agricoli-pentru-culturi-agricole-afectate-de-seceta-pedologica-din-perioada?pid=594923162&amp;d=2024-10-17" \l "p-594923162"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nu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cumulează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minimis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aceleaşi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costuri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identificabile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47D3EEC8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2. -</w:t>
      </w:r>
    </w:p>
    <w:p w14:paraId="287C3AD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Schema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1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"https://lege5.ro/App/Document/ge2tqojwgu4dg/ordonanta-de-urgenta-nr-120-2024-privind-instituirea-unei-scheme-de-ajutor-de-stat-sub-forma-de-grant-acordat-producatorilor-agricoli-pentru-culturi-agricole-afectate-de-seceta-pedologica-din-perioada?pid=594923162&amp;d=2024-10-17" \l "p-594923162"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părţii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II-a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capitolul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secţiunea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1.2.1.2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Orientările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sectoarele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forestier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zonele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Jurnalul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Oficial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seria C, nr. 485 din 21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2022,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denumite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Orientările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UE.</w:t>
      </w:r>
    </w:p>
    <w:p w14:paraId="40EAD95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judeţene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denumite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reprezintă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autoritatea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competentă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responsabilă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implementarea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CA0F37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Schema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întreg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teritoriul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României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plătesc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data de 31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2024.</w:t>
      </w:r>
    </w:p>
    <w:p w14:paraId="15A9D92E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3. -</w:t>
      </w:r>
    </w:p>
    <w:p w14:paraId="2FFD7A3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sensul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expresiile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jos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următoarele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semnificaţii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:</w:t>
      </w:r>
    </w:p>
    <w:p w14:paraId="2A46C59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creşterii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animalelor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7" w:anchor="p-64094662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I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Tratatul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funcţionarea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fără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efectua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nicio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operaţiune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respective;</w:t>
      </w:r>
    </w:p>
    <w:p w14:paraId="7817B08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act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căruia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fără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nevoie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măsuri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punere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suplimentare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pot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individuale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definite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mod general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abstract,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act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căruia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pot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lastRenderedPageBreak/>
        <w:t>acordate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nu sunt legate de 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proiect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specific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multor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nedefinită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cuantum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nedefinit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3FDC60D2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meteorologic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nefavorabil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asimilat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forţă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majoră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manifestat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temperaturi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ridicate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limita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precipitaţii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reduse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provoacă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scăderea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conţinutului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umiditate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sol,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determinând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compromiterea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distrugerea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100%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cauză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047B253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d)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dificultate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cel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următoare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: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răspundere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IMM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există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3 ani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mult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jumătate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capitalul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social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subscris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dispărut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cauza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pierderilor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acumulate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.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Această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survine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deducerea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pierderilor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acumulate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rezerve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elementele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considerate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făcând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fondurile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proprii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conduce la 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rezultat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negativ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depăşeşte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jumătate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capitalul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social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subscris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.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sensul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expresia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răspundere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referă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special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tipurile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"https://lege5.ro/App/Document/gm3tenjxg4/directiva-nr-34-2013-privind-situatiile-financiare-anuale-situatiile-financiare-consolidate-si-rapoartele-conexe-ale-anumitor-tipuri-de-intreprinderi-de-modificare-a-directivei-2006-43-ce-a-parlamentu?pid=65255306&amp;d=2024-10-17" \l "p-65255306"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 xml:space="preserve"> I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Directiva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2013/34/UE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Parlamentului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European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Consiliului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26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iunie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2013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consolidate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rapoartele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conexe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anumitor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tipuri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transpuse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măsurilor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transpunere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Ordinul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8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2.844/2016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Reglementărilor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contabile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Standardele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Internaţionale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Raportare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expresia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"capital social" include,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capital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suplimentar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;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asociaţi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răspundere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nelimitată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IMM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există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3 ani,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mult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jumătate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capitalul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propriu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aşa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reiese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contabilitatea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dispărut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cauza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pierderilor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acumulate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.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sensul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expresia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asociaţi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răspundere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nelimitată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referă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special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tipuri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"https://lege5.ro/App/Document/gm3tenjxg4/directiva-nr-34-2013-privind-situatiile-financiare-anuale-situatiile-financiare-consolidate-si-rapoartele-conexe-ale-anumitor-tipuri-de-intreprinderi-de-modificare-a-directivei-2006-43-ce-a-parlamentu?pid=65255363&amp;d=2024-10-17" \l "p-65255363"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 xml:space="preserve"> II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Directiva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2013/34/UE;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face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obiectul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proceduri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colective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insolvenţă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îndeplineşte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criteriile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procedură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colectivă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insolvenţă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deschisă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creditorilor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;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salvare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rambursat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împrumutul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încetat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garanţia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restructurare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face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obiectul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plan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restructurare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;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IMM,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atunci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ultimii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ani,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raportul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capitaluri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proprii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mare de 7,5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capacitatea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acoperire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dobânzilor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calculată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indicatorului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Profitul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înainte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dobânzi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impozite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depreciere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amortizare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 (EBITDA),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sub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1,0.</w:t>
      </w:r>
    </w:p>
    <w:p w14:paraId="035083E8" w14:textId="77777777" w:rsidR="00667C4C" w:rsidRPr="00667C4C" w:rsidRDefault="00667C4C" w:rsidP="00667C4C">
      <w:pPr>
        <w:shd w:val="clear" w:color="auto" w:fill="FFFFFF"/>
        <w:spacing w:before="450" w:after="0" w:line="240" w:lineRule="auto"/>
        <w:jc w:val="center"/>
        <w:outlineLvl w:val="1"/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>CAPITOLUL</w:t>
      </w:r>
      <w:proofErr w:type="spellEnd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>II</w:t>
      </w:r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criterii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eligibilitate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modalitatea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calcul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sumelor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reprezentând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grantul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acordă</w:t>
      </w:r>
      <w:proofErr w:type="spellEnd"/>
    </w:p>
    <w:p w14:paraId="42E12097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4. -</w:t>
      </w:r>
    </w:p>
    <w:p w14:paraId="51AC1B5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scheme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înfiinţat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toamna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primăvara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plantaţii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pomicole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vii,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9" w:anchor="p-594923271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1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lastRenderedPageBreak/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100%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:</w:t>
      </w:r>
    </w:p>
    <w:p w14:paraId="52A2E62D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persoane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fizice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4E651DF2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persoane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fizice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autorizate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individuale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familiale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constituite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Guvernului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10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44/2008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desfăşurarea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activităţilor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economice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persoanele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fizice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autorizate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individuale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întreprinderile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familiale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Legea </w:t>
      </w:r>
      <w:hyperlink r:id="rId11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182/2016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183A9F5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persoane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juridice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indiferent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statutul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lor juridic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lor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organizare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Legii </w:t>
      </w:r>
      <w:hyperlink r:id="rId12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36/1991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forme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asociere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comerciale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Legii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13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31/1990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republicată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grupurile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organizaţiile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recunoscute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Guvernului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14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37/2005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recunoaşterea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funcţionarea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grupurilor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organizaţiilor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comercializarea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silvice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Legea </w:t>
      </w:r>
      <w:hyperlink r:id="rId15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338/2005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cooperativele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Legii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cooperaţiei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16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566/2004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1BFF789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Schema nu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obţinut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ilegal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anterior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incompatibil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decizie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Comisiei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ilegal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rambursat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plătit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destinaţie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specială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reprezentând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dobânzile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ilegal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incompatibil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32C2043C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5. -</w:t>
      </w:r>
    </w:p>
    <w:p w14:paraId="5829414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4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"https://lege5.ro/App/Document/ge2tqojwgu4dg/ordonanta-de-urgenta-nr-120-2024-privind-instituirea-unei-scheme-de-ajutor-de-stat-sub-forma-de-grant-acordat-producatorilor-agricoli-pentru-culturi-agricole-afectate-de-seceta-pedologica-din-perioada?pid=594923179&amp;d=2024-10-17" \l "p-594923179"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:</w:t>
      </w:r>
    </w:p>
    <w:p w14:paraId="41BACFB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modelului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Regulamentul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gestionarea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generate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fenomene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meteorologice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periculoase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Ordinul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afacerilor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interne </w:t>
      </w:r>
      <w:hyperlink r:id="rId17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97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/63/2020,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2024;</w:t>
      </w:r>
    </w:p>
    <w:p w14:paraId="36C031F2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reprezintă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mare de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100%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2024;</w:t>
      </w:r>
    </w:p>
    <w:p w14:paraId="0648D1C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evidenţele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Intervenţie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denumită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APIA,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2024;</w:t>
      </w:r>
    </w:p>
    <w:p w14:paraId="32A58AD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d)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nu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dificultate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sensul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3 </w:t>
      </w:r>
      <w:hyperlink r:id="rId18" w:anchor="p-594923176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lit. d)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excepţia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dificultate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cauzată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manifestată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dovedită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lit. a),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100%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13CC9DD2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6. -</w:t>
      </w:r>
    </w:p>
    <w:p w14:paraId="2BCF45D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lastRenderedPageBreak/>
        <w:t xml:space="preserve">Pentru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2023-august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menţionată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aceleiaşi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APIA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2024.</w:t>
      </w:r>
    </w:p>
    <w:p w14:paraId="49B77763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7. -</w:t>
      </w:r>
    </w:p>
    <w:p w14:paraId="1E6BFDD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4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"https://lege5.ro/App/Document/ge2tqojwgu4dg/ordonanta-de-urgenta-nr-120-2024-privind-instituirea-unei-scheme-de-ajutor-de-stat-sub-forma-de-grant-acordat-producatorilor-agricoli-pentru-culturi-agricole-afectate-de-seceta-pedologica-din-perioada?pid=594923179&amp;d=2024-10-17" \l "p-594923179"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care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deţinători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contract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intervenţiei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DR-31 -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Contribuţii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strategic (PNS) 2023-2027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despăgubirea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calculată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per ha,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însumată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per ha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posibil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nu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conduce la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depăşire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80%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cheltuielile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menţionate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9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"https://lege5.ro/App/Document/ge2tqojwgu4dg/ordonanta-de-urgenta-nr-120-2024-privind-instituirea-unei-scheme-de-ajutor-de-stat-sub-forma-de-grant-acordat-producatorilor-agricoli-pentru-culturi-agricole-afectate-de-seceta-pedologica-din-perioada?pid=594923203&amp;d=2024-10-17" \l "p-594923203"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;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restituie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contravaloarea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reprezintă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depăşirea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cauză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dobânzii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pieţei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2FF5D1A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4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"https://lege5.ro/App/Document/ge2tqojwgu4dg/ordonanta-de-urgenta-nr-120-2024-privind-instituirea-unei-scheme-de-ajutor-de-stat-sub-forma-de-grant-acordat-producatorilor-agricoli-pentru-culturi-agricole-afectate-de-seceta-pedologica-din-perioada?pid=594923179&amp;d=2024-10-17" \l "p-594923179"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care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contra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intervenţiei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DR-31 -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Contribuţii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strategic (PNS) 2023-2027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încasat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reprezentând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despăgubiri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calculate per ha, anterior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depunere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DAJ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aceştia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menţioneze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secţiunea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angajamente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verifică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îndeplinirea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"https://lege5.ro/App/Document/ge2tqojwgu4dg/ordonanta-de-urgenta-nr-120-2024-privind-instituirea-unei-scheme-de-ajutor-de-stat-sub-forma-de-grant-acordat-producatorilor-agricoli-pentru-culturi-agricole-afectate-de-seceta-pedologica-din-perioada?pid=594923193&amp;d=2024-10-17" \l "p-594923193"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după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cuvenite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efectuând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plăţile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aceştia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restituit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dobânzii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pieţei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4790ED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cuantumul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hectar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date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societăţi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secţiunii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angajamente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restituit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scris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decizia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restituit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333B5521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8. -</w:t>
      </w:r>
    </w:p>
    <w:p w14:paraId="063D929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sub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formă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grant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cuantum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1.000 lei/ha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grad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mare de 30%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100%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32DFFF5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pot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înmulţirea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. (1)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19" w:anchor="p-594923271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1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16C0FD9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nu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executării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poprire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inclusiv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împotriva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pornită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procedura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executare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4CD94C7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9. -</w:t>
      </w:r>
    </w:p>
    <w:p w14:paraId="5DD157A1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lastRenderedPageBreak/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Cheltuielile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avute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cheltuielile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Tehnologiile-cadru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recolta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realizate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Institutul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Cercetare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Economia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431BA45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1.000 lei/ha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reprezintă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procentuală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14,53%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24,31%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cheltuielile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Tehnologiile-cadru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recolta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2023-2024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corespunde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cerinţelor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pct. (356) lit. b), (357)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(358)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Orientările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UE.</w:t>
      </w:r>
    </w:p>
    <w:p w14:paraId="167B6F5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Cheltuielile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principalele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Tehnologiile-cadru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recolta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2023-2024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realizate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Institutul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Cercetare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Economia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 sunt:</w:t>
      </w:r>
    </w:p>
    <w:p w14:paraId="186A89F6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grâu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triticale,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- 4.330,50 lei/ha;</w:t>
      </w:r>
    </w:p>
    <w:p w14:paraId="4A3B6EC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orz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orzoaică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ovăz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- 4.505,50 lei/ha;</w:t>
      </w:r>
    </w:p>
    <w:p w14:paraId="6516461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rapiţă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- 4.805,40 lei/ha;</w:t>
      </w:r>
    </w:p>
    <w:p w14:paraId="228B290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d)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mazăre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- 6.881,80 lei/ha;</w:t>
      </w:r>
    </w:p>
    <w:p w14:paraId="4FB2FC5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e)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porumb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- 4.411,20 lei/ha;</w:t>
      </w:r>
    </w:p>
    <w:p w14:paraId="208771E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f)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floarea-soarelui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- 4.113,50 lei/ha;</w:t>
      </w:r>
    </w:p>
    <w:p w14:paraId="072A15D2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g)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soia - 4.513,50 lei/ha;</w:t>
      </w:r>
    </w:p>
    <w:p w14:paraId="7493DDC5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h)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sfeclă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zahăr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- 9.885,50 lei/ha;</w:t>
      </w:r>
    </w:p>
    <w:p w14:paraId="67AFCF84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i</w:t>
      </w:r>
      <w:proofErr w:type="spellEnd"/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sorg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- 5.531,60 lei/ha;</w:t>
      </w:r>
    </w:p>
    <w:p w14:paraId="5EB8EC05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j)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vii - 29.409,00 lei/ha;</w:t>
      </w:r>
    </w:p>
    <w:p w14:paraId="7743595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k)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pomi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fructiferi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- 25.587,00 lei/ha.</w:t>
      </w:r>
    </w:p>
    <w:p w14:paraId="6DC6B95D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10. -</w:t>
      </w:r>
    </w:p>
    <w:p w14:paraId="7BC21A7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Resursele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2.000.000,00 mii lei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conformitate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Hotărârii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Guvernului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0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1.236/2024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alocarea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Fondul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rezervă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Guvernului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suplimentarea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capitolul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83.01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silvicultură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piscicultură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vânătoare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51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Transferuri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articolul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51.01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Transferuri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alineatul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51.01.01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Transferuri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instituţii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DAJ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capitolul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83.10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silvicultură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piscicultură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vânătoare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59 "Alte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cheltuieli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articolul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59.09 "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Despăgubiri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naturale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".</w:t>
      </w:r>
    </w:p>
    <w:p w14:paraId="607F61C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necesare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depăşesc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plafoanele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această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destinaţie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reduce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proporţional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generală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fonduri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coeficientul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reducere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liniară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cuvenite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11D657C6" w14:textId="77777777" w:rsidR="00667C4C" w:rsidRPr="00667C4C" w:rsidRDefault="00667C4C" w:rsidP="00667C4C">
      <w:pPr>
        <w:shd w:val="clear" w:color="auto" w:fill="FFFFFF"/>
        <w:spacing w:before="450" w:after="0" w:line="240" w:lineRule="auto"/>
        <w:jc w:val="center"/>
        <w:outlineLvl w:val="1"/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lastRenderedPageBreak/>
        <w:t>CAPITOLUL</w:t>
      </w:r>
      <w:proofErr w:type="spellEnd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>III</w:t>
      </w:r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Reguli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procedurale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acordare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de stat</w:t>
      </w:r>
    </w:p>
    <w:p w14:paraId="66F209EA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11. -</w:t>
      </w:r>
    </w:p>
    <w:p w14:paraId="6E733EA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4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"https://lege5.ro/App/Document/ge2tqojwgu4dg/ordonanta-de-urgenta-nr-120-2024-privind-instituirea-unei-scheme-de-ajutor-de-stat-sub-forma-de-grant-acordat-producatorilor-agricoli-pentru-culturi-agricole-afectate-de-seceta-pedologica-din-perioada?pid=594923179&amp;d=2024-10-17" \l "p-594923179"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îndeplinesc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5,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/transmit la DAJ pe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administrativ-teritorială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terenurile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făcut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obiectul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campania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Intervenţie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model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1" w:anchor="p-594923274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2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din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rezultă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coordonatele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bancare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deschis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banca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comercială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Trezoreria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nu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menţin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coordonatele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bancare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existente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APIA.</w:t>
      </w:r>
    </w:p>
    <w:p w14:paraId="56388FE5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însoţită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după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copia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multiplicare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număr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inspectoratele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teritoriale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seminţelor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materialului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săditor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(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ITCSMS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)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Laboratorul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Central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Seminţelor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Materialului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Săditor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(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LCCSMS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)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copia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inspecţie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multiplicator,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lucernă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lot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semincer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2F5399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însoţită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documentele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"https://lege5.ro/App/Document/ge2tqojwgu4dg/ordonanta-de-urgenta-nr-120-2024-privind-instituirea-unei-scheme-de-ajutor-de-stat-sub-forma-de-grant-acordat-producatorilor-agricoli-pentru-culturi-agricole-afectate-de-seceta-pedologica-din-perioada?pid=594923221&amp;d=2024-10-17" \l "p-594923221"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transmisă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fax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poştă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format electronic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e-mail.</w:t>
      </w:r>
    </w:p>
    <w:p w14:paraId="24AFBAFD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(4)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Documentele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copie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purta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sintagma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"conform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originalul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însuşite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semnătură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4A540E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(5)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maximum 10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intrării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vigoare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2B85C6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(6)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DAJ pot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solicitanţilor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pretipărite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modelului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2" w:anchor="p-594923274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2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5BCA306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12. -</w:t>
      </w:r>
    </w:p>
    <w:p w14:paraId="30C6CFF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fiecărei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personalul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desemnat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efectuează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un prim control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vizual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înscrise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alocarea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numărului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depunere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625AFDE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13. -</w:t>
      </w:r>
    </w:p>
    <w:p w14:paraId="7ED8AFC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Pentru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implementarea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gestionarea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măsurilor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nivelul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fiecărei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intrării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vigoare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APIA central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fiecare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fiecare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judeţ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municipiul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Bucureşti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rezultate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interogarea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date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Sistemul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informatic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control (IACS),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referitoare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2024:</w:t>
      </w:r>
    </w:p>
    <w:p w14:paraId="59DBBD0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identificare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nume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prenume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denumire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, CUI/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CNP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număr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identificare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Registrul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fermierilor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- ID APIA,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adresa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sediul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social,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coordonatele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bancare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;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furnizează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un alt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bancar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date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rubrica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"cod IBAN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",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barând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linie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înscrise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APIA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bancar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existent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evidenţele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acesteia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2024;</w:t>
      </w:r>
    </w:p>
    <w:p w14:paraId="5DF0AD9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defalcate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declarate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producătorul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agricol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determinate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urma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controalelor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administrative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locului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culturile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3" w:anchor="p-594923229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1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7541063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lastRenderedPageBreak/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Personalul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desemnat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decizie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conducerii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executive a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aibă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acces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caracter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personal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informatică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nominală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despre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este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măsurile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protecţie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tuturor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garanţiilor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exigenţelor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confidenţialitatea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A999127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14. -</w:t>
      </w:r>
    </w:p>
    <w:p w14:paraId="50625F28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intrării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vigoare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Investiţiilor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denumită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continuare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AFIR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fiecărei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rezultate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interogarea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date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AFIR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deţinători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contract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/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intervenţiei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DR-31 -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Contribuţii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strategic (PNS) 2023-2027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secetă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68E96123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15. -</w:t>
      </w:r>
    </w:p>
    <w:p w14:paraId="5C40733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maximum 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după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finalizarea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11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"https://lege5.ro/App/Document/ge2tqojwgu4dg/ordonanta-de-urgenta-nr-120-2024-privind-instituirea-unei-scheme-de-ajutor-de-stat-sub-forma-de-grant-acordat-producatorilor-agricoli-pentru-culturi-agricole-afectate-de-seceta-pedologica-din-perioada?pid=594923224&amp;d=2024-10-17" \l "p-594923224"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(5)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responsabilii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desemnaţi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cadrul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desfăşurării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următoarelor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acţiuni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:</w:t>
      </w:r>
    </w:p>
    <w:p w14:paraId="2F91470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a)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verificarea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îndeplinii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4" w:anchor="p-594923184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art. 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-</w:t>
      </w:r>
      <w:hyperlink r:id="rId25" w:anchor="p-594923192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7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735F5C11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b)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date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solicitanţilor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fiecărui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calculat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baza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suprafeţele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calamitate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evaluare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pagubelor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;</w:t>
      </w:r>
    </w:p>
    <w:p w14:paraId="2C5BE7A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c)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transmit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generală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fonduri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centralizatoare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modelului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6" w:anchor="p-594923279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3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CD36FC0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neeligibilitatea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solicitanţilor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notificarea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respingere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scris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maximum 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finalizării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verificărilor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aceasta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contestată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termenele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Legii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contenciosului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7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554/2004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3672F06B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16. -</w:t>
      </w:r>
    </w:p>
    <w:p w14:paraId="727E0046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maximum 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centralizatoare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art. 15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 (1) </w:t>
      </w:r>
      <w:hyperlink r:id="rId28" w:anchor="p-594923239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lit. c)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generală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fonduri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verifică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încadrarea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solicitărilor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financiare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valoarea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totală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alocată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deschidere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însoţită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centralizatoare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conform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modelului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29" w:anchor="p-594923288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4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66DD819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După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aprobarea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deschiderii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deschide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repartizează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cuvenite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AC1DAA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virează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cuvenite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9EEB746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lastRenderedPageBreak/>
        <w:t>Art. 17. -</w:t>
      </w:r>
    </w:p>
    <w:p w14:paraId="35F9DA8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cazul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nerespectării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hyperlink r:id="rId30" w:anchor="p-594923184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art. 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-</w:t>
      </w:r>
      <w:hyperlink r:id="rId31" w:anchor="p-594923192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7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precum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unor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date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nereale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documente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încălcării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mod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restituirea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contravalorii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diferenţei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încasate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reprezintă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sprijinul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necuvenit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la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adaugă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dobânzi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penalităţi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întârziere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calculate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încasării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recuperării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integrale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Legii </w:t>
      </w:r>
      <w:hyperlink r:id="rId32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500/2002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Legii </w:t>
      </w:r>
      <w:hyperlink r:id="rId33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207/2015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"https://lege5.ro/App/Document/g4ztkmrygm/codul-de-procedura-fiscala-din-2015?d=2024-10-17"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Codul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procedură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fiscală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4D40A48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reprezentând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necuvenit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. (1),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reprezintă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recuperarea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aplicându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mod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corespunzător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"https://lege5.ro/App/Document/g4ztkmrygm/codul-de-procedura-fiscala-din-2015?pid=81154663&amp;d=2024-10-17" \l "p-81154663"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titlurilor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 xml:space="preserve"> V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34" w:anchor="p-81155068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VII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din Legea </w:t>
      </w:r>
      <w:hyperlink r:id="rId35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207/2015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Codul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procedură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43F41606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(3)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-verbal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constatare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neregulilor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stabilire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întocmit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individualizează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recuperat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exprimate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moneda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constituie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cuprinde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elementele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-fiscal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III </w:t>
      </w:r>
      <w:hyperlink r:id="rId36" w:anchor="p-81154311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cap. IV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emise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Legea </w:t>
      </w:r>
      <w:hyperlink r:id="rId37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207/2015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5FDB542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(4)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constituie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executoriu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împlinirii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termenului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scadenţă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711F469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(5)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Persoana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consideră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vătămată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drept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său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sau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interes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legitim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adresa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instanţei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contencios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condiţiile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termenele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cap. II -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Procedura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soluţionare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contenciosul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Legea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contenciosului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38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554/2004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57E50A9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(6)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executorii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împreună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dovada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comunicării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acestora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debitor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transmit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competente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subordonate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recuperării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debitului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"https://lege5.ro/App/Document/g4ztkmrygm/codul-de-procedura-fiscala-din-2015?pid=81155068&amp;d=2024-10-17" \l "p-81155068"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titlului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 xml:space="preserve"> VII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din Legea nr. 207/2015,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completările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ulterioare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8D431F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(7)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Cuantumul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accesorii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calculează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ziua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imediat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următoare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scadenţei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transmiterii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competente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subordonate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"https://lege5.ro/App/Document/ge2tqojwgu4dg/ordonanta-de-urgenta-nr-120-2024-privind-instituirea-unei-scheme-de-ajutor-de-stat-sub-forma-de-grant-acordat-producatorilor-agricoli-pentru-culturi-agricole-afectate-de-seceta-pedologica-din-perioada?pid=594923251&amp;d=2024-10-17" \l "p-594923251"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(6)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iar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organele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competente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subordonate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Agenţiei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Naţionale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Administrare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calcula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accesorii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transmiterii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executorii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până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stingerii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4F8E059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(8)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accesorii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calculate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fi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individualizate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titlu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"https://lege5.ro/App/Document/ge2tqojwgu4dg/ordonanta-de-urgenta-nr-120-2024-privind-instituirea-unei-scheme-de-ajutor-de-stat-sub-forma-de-grant-acordat-producatorilor-agricoli-pentru-culturi-agricole-afectate-de-seceta-pedologica-din-perioada?pid=594923247&amp;d=2024-10-17" \l "p-594923247"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- </w:t>
      </w:r>
      <w:hyperlink r:id="rId39" w:anchor="p-594923251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(6)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aplicându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mod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corespunzător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1679F795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(9)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procedura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insolvenţei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înscrierea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creanţei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masa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face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DAJ.</w:t>
      </w:r>
    </w:p>
    <w:p w14:paraId="601BD4A9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(10)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încasate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"https://lege5.ro/App/Document/ge2tqojwgu4dg/ordonanta-de-urgenta-nr-120-2024-privind-instituirea-unei-scheme-de-ajutor-de-stat-sub-forma-de-grant-acordat-producatorilor-agricoli-pentru-culturi-agricole-afectate-de-seceta-pedologica-din-perioada?pid=594923247&amp;d=2024-10-17" \l "p-594923247"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venit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integral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virează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într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-un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venituri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distinct.</w:t>
      </w:r>
    </w:p>
    <w:p w14:paraId="26BA46D1" w14:textId="77777777" w:rsidR="00667C4C" w:rsidRPr="00667C4C" w:rsidRDefault="00667C4C" w:rsidP="00667C4C">
      <w:pPr>
        <w:shd w:val="clear" w:color="auto" w:fill="FFFFFF"/>
        <w:spacing w:before="450" w:after="0" w:line="240" w:lineRule="auto"/>
        <w:jc w:val="center"/>
        <w:outlineLvl w:val="1"/>
        <w:rPr>
          <w:rFonts w:ascii="Calibri" w:eastAsia="Times New Roman" w:hAnsi="Calibri" w:cs="Calibri"/>
          <w:color w:val="333333"/>
          <w:kern w:val="0"/>
          <w:sz w:val="30"/>
          <w:szCs w:val="30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lastRenderedPageBreak/>
        <w:t>CAPITOLUL</w:t>
      </w:r>
      <w:proofErr w:type="spellEnd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2A76A7"/>
          <w:kern w:val="0"/>
          <w:sz w:val="30"/>
          <w:szCs w:val="30"/>
          <w:lang w:eastAsia="en-GB"/>
          <w14:ligatures w14:val="none"/>
        </w:rPr>
        <w:t>IV</w:t>
      </w:r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>Dispoziţii</w:t>
      </w:r>
      <w:proofErr w:type="spellEnd"/>
      <w:r w:rsidRPr="00667C4C">
        <w:rPr>
          <w:rFonts w:ascii="Calibri" w:eastAsia="Times New Roman" w:hAnsi="Calibri" w:cs="Calibri"/>
          <w:color w:val="48B7E6"/>
          <w:kern w:val="0"/>
          <w:sz w:val="30"/>
          <w:szCs w:val="30"/>
          <w:lang w:eastAsia="en-GB"/>
          <w14:ligatures w14:val="none"/>
        </w:rPr>
        <w:t xml:space="preserve"> finale</w:t>
      </w:r>
    </w:p>
    <w:p w14:paraId="533B7739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18. -</w:t>
      </w:r>
    </w:p>
    <w:p w14:paraId="2B59A17F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documentele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depuse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potrivit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păstrează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DAJ pe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10 ani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la care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fost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stat.</w:t>
      </w:r>
    </w:p>
    <w:p w14:paraId="28954C2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Toate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documentele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atestă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cuvenit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păstrează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către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pe o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perioadă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10 ani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la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încasării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cuvenite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0297EEF5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19. -</w:t>
      </w:r>
    </w:p>
    <w:p w14:paraId="19B6DE9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DAJ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asigură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sunt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respectate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principiile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 pct. (112)-(115)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Orientările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UE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priveşte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transparenţa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respectiv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 site-urile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proprii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instituţiilor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www.dadr@madr.ro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atât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textului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Schemei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cât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căror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sume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despăgubiri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depăşesc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10.000 de euro.</w:t>
      </w:r>
    </w:p>
    <w:p w14:paraId="1786C398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Informaţiile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la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begin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instrText>HYPERLINK "https://lege5.ro/App/Document/ge2tqojwgu4dg/ordonanta-de-urgenta-nr-120-2024-privind-instituirea-unei-scheme-de-ajutor-de-stat-sub-forma-de-grant-acordat-producatorilor-agricoli-pentru-culturi-agricole-afectate-de-seceta-pedologica-din-perioada?pid=594923261&amp;d=2024-10-17" \l "p-594923261" \t "_blank"</w:instrTex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separate"/>
      </w:r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alin</w:t>
      </w:r>
      <w:proofErr w:type="spellEnd"/>
      <w:r w:rsidRPr="00667C4C">
        <w:rPr>
          <w:rFonts w:ascii="Calibri" w:eastAsia="Times New Roman" w:hAnsi="Calibri" w:cs="Calibri"/>
          <w:color w:val="1A86B6"/>
          <w:kern w:val="0"/>
          <w:sz w:val="26"/>
          <w:szCs w:val="26"/>
          <w:u w:val="single"/>
          <w:lang w:eastAsia="en-GB"/>
          <w14:ligatures w14:val="none"/>
        </w:rPr>
        <w:t>. 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fldChar w:fldCharType="end"/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 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publică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termen de 15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zile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lucrătoare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după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deciziei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Comisiei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stat,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păstrează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timp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cel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puţin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10 ani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fiscali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pun la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dispoziţia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tuturor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interesaţi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fără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restricţii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respectarea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legale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protecţia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datelor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caracter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personal.</w:t>
      </w:r>
    </w:p>
    <w:p w14:paraId="280A5C30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20. -</w:t>
      </w:r>
    </w:p>
    <w:p w14:paraId="307F593B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(1)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Începând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cu data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primirii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deciziei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Comisiei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acordarea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prevăzut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stabileşte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eligibilitatea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beneficiarului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constituie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obligaţia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plată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</w:t>
      </w:r>
      <w:proofErr w:type="gram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acestui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ajutor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stat.</w:t>
      </w:r>
    </w:p>
    <w:p w14:paraId="208F0454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en-GB"/>
          <w14:ligatures w14:val="none"/>
        </w:rPr>
        <w:t>(2)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situaţia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care, anterior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emiterii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deciziei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Comisia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Europeană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solicită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privind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Schema,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prevederile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prezentei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modifică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mod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corespunzător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p w14:paraId="29A5C077" w14:textId="77777777" w:rsidR="00667C4C" w:rsidRPr="00667C4C" w:rsidRDefault="00667C4C" w:rsidP="00667C4C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Art. 21. -</w:t>
      </w:r>
    </w:p>
    <w:p w14:paraId="56D566AD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Anexele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hyperlink r:id="rId40" w:anchor="p-594923271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nr. 1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-</w:t>
      </w:r>
      <w:hyperlink r:id="rId41" w:anchor="p-594923288" w:tgtFrame="_blank" w:history="1">
        <w:r w:rsidRPr="00667C4C">
          <w:rPr>
            <w:rFonts w:ascii="Calibri" w:eastAsia="Times New Roman" w:hAnsi="Calibri" w:cs="Calibri"/>
            <w:color w:val="1A86B6"/>
            <w:kern w:val="0"/>
            <w:sz w:val="26"/>
            <w:szCs w:val="26"/>
            <w:u w:val="single"/>
            <w:lang w:eastAsia="en-GB"/>
            <w14:ligatures w14:val="none"/>
          </w:rPr>
          <w:t>4</w:t>
        </w:r>
      </w:hyperlink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 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fac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parte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integrantă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prezenta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urgenţă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6059"/>
      </w:tblGrid>
      <w:tr w:rsidR="00667C4C" w:rsidRPr="00667C4C" w14:paraId="3991603E" w14:textId="77777777" w:rsidTr="00667C4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0E5B2" w14:textId="77777777" w:rsidR="00667C4C" w:rsidRPr="00667C4C" w:rsidRDefault="00667C4C" w:rsidP="00667C4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8B84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42F6FB4" w14:textId="77777777" w:rsidTr="00667C4C">
        <w:trPr>
          <w:trHeight w:val="27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011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3BB2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PRIM-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MINISTRU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ION-MARCEL CIOLACU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u w:val="single"/>
                <w:lang w:eastAsia="en-GB"/>
                <w14:ligatures w14:val="none"/>
              </w:rPr>
              <w:t>Contrasemnează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u w:val="single"/>
                <w:lang w:eastAsia="en-GB"/>
                <w14:ligatures w14:val="none"/>
              </w:rPr>
              <w:t>: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Viceprim-ministru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Marian Neacşu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Ministrul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agriculturii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şi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dezvoltării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rurale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Florin-Ionuţ Barbu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p.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Ministrul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afacerilor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externe,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Luca-Alexandru Niculescu,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secretar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de stat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p.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Ministrul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finanţelor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Alin Marius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Andrieş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secretar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de stat</w:t>
            </w:r>
          </w:p>
        </w:tc>
      </w:tr>
    </w:tbl>
    <w:p w14:paraId="6ADD307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Bucureşti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9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octombrie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2024.</w:t>
      </w:r>
    </w:p>
    <w:p w14:paraId="429A4563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Nr. 120.</w:t>
      </w:r>
    </w:p>
    <w:p w14:paraId="3364CB4B" w14:textId="77777777" w:rsidR="00667C4C" w:rsidRPr="00667C4C" w:rsidRDefault="00667C4C" w:rsidP="00667C4C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 xml:space="preserve"> Nr. 1</w:t>
      </w:r>
    </w:p>
    <w:p w14:paraId="3CD7DE67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lastRenderedPageBreak/>
        <w:t>LISTA</w:t>
      </w: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culturilor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grantul</w:t>
      </w:r>
      <w:proofErr w:type="spellEnd"/>
    </w:p>
    <w:tbl>
      <w:tblPr>
        <w:tblW w:w="103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03"/>
        <w:gridCol w:w="1988"/>
        <w:gridCol w:w="7790"/>
      </w:tblGrid>
      <w:tr w:rsidR="00667C4C" w:rsidRPr="00667C4C" w14:paraId="2FB331DC" w14:textId="77777777" w:rsidTr="00667C4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BED4F" w14:textId="77777777" w:rsidR="00667C4C" w:rsidRPr="00667C4C" w:rsidRDefault="00667C4C" w:rsidP="00667C4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BCC0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E608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A52B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02C953DA" w14:textId="77777777" w:rsidTr="00667C4C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C8B6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DD1E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Nr.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crt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9732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Denumirea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culturii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D91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Codul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APIA de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cultură</w:t>
            </w:r>
            <w:proofErr w:type="spellEnd"/>
          </w:p>
        </w:tc>
      </w:tr>
      <w:tr w:rsidR="00667C4C" w:rsidRPr="00667C4C" w14:paraId="4BC954C0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2756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F253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(0)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3D1A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(1)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E7AC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(2)</w:t>
            </w:r>
          </w:p>
        </w:tc>
      </w:tr>
      <w:tr w:rsidR="00667C4C" w:rsidRPr="00667C4C" w14:paraId="6BF25253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51A8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7592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4ECA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grâu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7FD0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101, 1010, 102, 1020, 132, 500</w:t>
            </w:r>
          </w:p>
        </w:tc>
      </w:tr>
      <w:tr w:rsidR="00667C4C" w:rsidRPr="00667C4C" w14:paraId="74A80815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D2C1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25F6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1D5F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secară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A5AB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104, 1041, 1040, 500</w:t>
            </w:r>
          </w:p>
        </w:tc>
      </w:tr>
      <w:tr w:rsidR="00667C4C" w:rsidRPr="00667C4C" w14:paraId="53B54748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AFE8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4108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A285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triticale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B493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103, 1031, 1030, 500</w:t>
            </w:r>
          </w:p>
        </w:tc>
      </w:tr>
      <w:tr w:rsidR="00667C4C" w:rsidRPr="00667C4C" w14:paraId="4C3ECF84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C6FB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7BD0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B18F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orz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AC0A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105, 1050, 503</w:t>
            </w:r>
          </w:p>
        </w:tc>
      </w:tr>
      <w:tr w:rsidR="00667C4C" w:rsidRPr="00667C4C" w14:paraId="7E0DEF13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BE1E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64AC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E22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orzoaică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2CF0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106, 1060, 500</w:t>
            </w:r>
          </w:p>
        </w:tc>
      </w:tr>
      <w:tr w:rsidR="00667C4C" w:rsidRPr="00667C4C" w14:paraId="58DCD83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9A56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C852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C8C9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ovăz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B81B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107, 1071, 1070</w:t>
            </w:r>
          </w:p>
        </w:tc>
      </w:tr>
      <w:tr w:rsidR="00667C4C" w:rsidRPr="00667C4C" w14:paraId="532587CF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EDA4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8565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445A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rapiţă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1FF8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202, 2021, 2020, 504</w:t>
            </w:r>
          </w:p>
        </w:tc>
      </w:tr>
      <w:tr w:rsidR="00667C4C" w:rsidRPr="00667C4C" w14:paraId="6C0398D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7E3E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EB4E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F3DF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porumb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9E99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108, 1081, 115, 116, 117, 118, 502</w:t>
            </w:r>
          </w:p>
        </w:tc>
      </w:tr>
      <w:tr w:rsidR="00667C4C" w:rsidRPr="00667C4C" w14:paraId="35BBF0B6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BD03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FB2E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61D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porumb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siloz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929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131, 1317</w:t>
            </w:r>
          </w:p>
        </w:tc>
      </w:tr>
      <w:tr w:rsidR="00667C4C" w:rsidRPr="00667C4C" w14:paraId="64663984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E51C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3389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E229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porumb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furajer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2B85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133, 1331</w:t>
            </w:r>
          </w:p>
        </w:tc>
      </w:tr>
      <w:tr w:rsidR="00667C4C" w:rsidRPr="00667C4C" w14:paraId="36F205C7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9765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DA4F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EB53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sorg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B6AE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110, 1101, 119, 120, 121, 122</w:t>
            </w:r>
          </w:p>
        </w:tc>
      </w:tr>
      <w:tr w:rsidR="00667C4C" w:rsidRPr="00667C4C" w14:paraId="2F2355B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6A8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731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451D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floarea-soarelui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44AB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123, 124, 125, 126, 201, 2011, 505</w:t>
            </w:r>
          </w:p>
        </w:tc>
      </w:tr>
      <w:tr w:rsidR="00667C4C" w:rsidRPr="00667C4C" w14:paraId="5C994C1C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C951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0690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8F02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soia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1E92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127, 1271, 128, 1281, 129, 1291, 130, 1301, 203, 2031, 2037, 20371, 2038, 20381, 2035, 20351</w:t>
            </w:r>
          </w:p>
        </w:tc>
      </w:tr>
      <w:tr w:rsidR="00667C4C" w:rsidRPr="00667C4C" w14:paraId="38ACE987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9C61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FF8E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C8C6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mazăre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28AA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151, 1511, 1517, 15171, 1515, 15151</w:t>
            </w:r>
          </w:p>
        </w:tc>
      </w:tr>
      <w:tr w:rsidR="00667C4C" w:rsidRPr="00667C4C" w14:paraId="4CAFAC34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7ABD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5CF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FFFC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mazăre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furajeră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3D71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159, 1591, 1597, 11595, 1591</w:t>
            </w:r>
          </w:p>
        </w:tc>
      </w:tr>
      <w:tr w:rsidR="00667C4C" w:rsidRPr="00667C4C" w14:paraId="7969EB1F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E23B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D726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BDA5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lucernă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- lot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semincer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37F5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9749, 97491</w:t>
            </w:r>
          </w:p>
        </w:tc>
      </w:tr>
      <w:tr w:rsidR="00667C4C" w:rsidRPr="00667C4C" w14:paraId="4FD6352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E0A6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130D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B567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cartof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1BDA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251, 253, 254, 255, 2557</w:t>
            </w:r>
          </w:p>
        </w:tc>
      </w:tr>
      <w:tr w:rsidR="00667C4C" w:rsidRPr="00667C4C" w14:paraId="7A8C7D0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2899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6217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E3BA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pomi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fructiferi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4423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651, 6517, 652, 653, 6537, 654, 6547, 655, 6557, 656, 6567, 657, 658, 659, 701, 702</w:t>
            </w:r>
          </w:p>
        </w:tc>
      </w:tr>
      <w:tr w:rsidR="00667C4C" w:rsidRPr="00667C4C" w14:paraId="1EBB0A1F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4B7C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C19E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A721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arbuşti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fructiferi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76E3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801, 802, 804</w:t>
            </w:r>
          </w:p>
        </w:tc>
      </w:tr>
      <w:tr w:rsidR="00667C4C" w:rsidRPr="00667C4C" w14:paraId="69D11EC5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0033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7C7B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5B1E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7303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961, 962, 965</w:t>
            </w:r>
          </w:p>
        </w:tc>
      </w:tr>
      <w:tr w:rsidR="00667C4C" w:rsidRPr="00667C4C" w14:paraId="5D6756F5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64A5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F2FE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E205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sparcetă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A840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975, 9751</w:t>
            </w:r>
          </w:p>
        </w:tc>
      </w:tr>
      <w:tr w:rsidR="00667C4C" w:rsidRPr="00667C4C" w14:paraId="5ED6AFD5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FD61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5D99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98BD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măzăriche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de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primăvară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697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158, 1581, 1587, 15871</w:t>
            </w:r>
          </w:p>
        </w:tc>
      </w:tr>
      <w:tr w:rsidR="00667C4C" w:rsidRPr="00667C4C" w14:paraId="3F73E20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46CE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28A5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152D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sfeclă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de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zahăr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2EC6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301, 3017, 302</w:t>
            </w:r>
          </w:p>
        </w:tc>
      </w:tr>
      <w:tr w:rsidR="00667C4C" w:rsidRPr="00667C4C" w14:paraId="38BE7514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3836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5FF1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7A69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tutun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EC02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208</w:t>
            </w:r>
          </w:p>
        </w:tc>
      </w:tr>
      <w:tr w:rsidR="00667C4C" w:rsidRPr="00667C4C" w14:paraId="35AE83C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E631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C7FF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5DE1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muştar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66E3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977, 9771</w:t>
            </w:r>
          </w:p>
        </w:tc>
      </w:tr>
      <w:tr w:rsidR="00667C4C" w:rsidRPr="00667C4C" w14:paraId="68F3070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3312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2862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17B3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linte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0867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153, 1531</w:t>
            </w:r>
          </w:p>
        </w:tc>
      </w:tr>
      <w:tr w:rsidR="00667C4C" w:rsidRPr="00667C4C" w14:paraId="68AA4E13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261A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A0F8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2742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coriandru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BCC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224, 2241</w:t>
            </w:r>
          </w:p>
        </w:tc>
      </w:tr>
      <w:tr w:rsidR="00667C4C" w:rsidRPr="00667C4C" w14:paraId="40396A2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20DA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3EA2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AFCD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năut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284B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157, 1571, 1575, 15751</w:t>
            </w:r>
          </w:p>
        </w:tc>
      </w:tr>
      <w:tr w:rsidR="00667C4C" w:rsidRPr="00667C4C" w14:paraId="6CC2F831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AD4C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2ACD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E85C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levănţică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022C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210</w:t>
            </w:r>
          </w:p>
        </w:tc>
      </w:tr>
      <w:tr w:rsidR="00667C4C" w:rsidRPr="00667C4C" w14:paraId="7938FDE1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8701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087E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AA48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plante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medicinale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783D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213, 2013</w:t>
            </w:r>
          </w:p>
        </w:tc>
      </w:tr>
      <w:tr w:rsidR="00667C4C" w:rsidRPr="00667C4C" w14:paraId="11A679A9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0A4D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0889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4394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cânepă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65CE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2071, 2077, 220, 2207, 207</w:t>
            </w:r>
          </w:p>
        </w:tc>
      </w:tr>
      <w:tr w:rsidR="00667C4C" w:rsidRPr="00667C4C" w14:paraId="5E593416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6124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7E50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99F4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hrişcă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00B96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113, 1131</w:t>
            </w:r>
          </w:p>
        </w:tc>
      </w:tr>
      <w:tr w:rsidR="00667C4C" w:rsidRPr="00667C4C" w14:paraId="19738AB7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00B7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53F3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69FB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cătină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9B93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804, 8043</w:t>
            </w:r>
          </w:p>
        </w:tc>
      </w:tr>
      <w:tr w:rsidR="00667C4C" w:rsidRPr="00667C4C" w14:paraId="3DED6853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D3B2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2917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2933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5766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112, 1121</w:t>
            </w:r>
          </w:p>
        </w:tc>
      </w:tr>
      <w:tr w:rsidR="00667C4C" w:rsidRPr="00667C4C" w14:paraId="665AAB34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8167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3873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604B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ridiche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sălbatică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0D1B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304</w:t>
            </w:r>
          </w:p>
        </w:tc>
      </w:tr>
      <w:tr w:rsidR="00667C4C" w:rsidRPr="00667C4C" w14:paraId="0F6BDA3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6D38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E335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390A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porumb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zaharat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0410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109</w:t>
            </w:r>
          </w:p>
        </w:tc>
      </w:tr>
      <w:tr w:rsidR="00667C4C" w:rsidRPr="00667C4C" w14:paraId="0DF58E61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FA26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5761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0778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plante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nutreţ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60C6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451</w:t>
            </w:r>
          </w:p>
        </w:tc>
      </w:tr>
      <w:tr w:rsidR="00667C4C" w:rsidRPr="00667C4C" w14:paraId="6222A955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3C80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C7AA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9F33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alte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plante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furajere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3842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452, 453, 4531, 159, 1591, 1597, 15971</w:t>
            </w:r>
          </w:p>
        </w:tc>
      </w:tr>
      <w:tr w:rsidR="00667C4C" w:rsidRPr="00667C4C" w14:paraId="125187EC" w14:textId="77777777" w:rsidTr="00667C4C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70CC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2F60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5576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legume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proaspete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548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351, 3510, 352, 353, 3537, 354, 3547, 3507, 3597</w:t>
            </w:r>
          </w:p>
        </w:tc>
      </w:tr>
    </w:tbl>
    <w:p w14:paraId="5CD81EE8" w14:textId="77777777" w:rsidR="00667C4C" w:rsidRPr="00667C4C" w:rsidRDefault="00667C4C" w:rsidP="00667C4C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 xml:space="preserve"> Nr. 2</w:t>
      </w:r>
    </w:p>
    <w:p w14:paraId="6A2690A2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CERERE</w:t>
      </w: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  <w:t xml:space="preserve">de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solicitare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a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2023-august 2024</w:t>
      </w: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  <w:t>(model)</w:t>
      </w:r>
    </w:p>
    <w:p w14:paraId="64877556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noProof/>
          <w:color w:val="444444"/>
          <w:kern w:val="0"/>
          <w:sz w:val="26"/>
          <w:szCs w:val="26"/>
          <w:lang w:eastAsia="en-GB"/>
          <w14:ligatures w14:val="none"/>
        </w:rPr>
        <w:drawing>
          <wp:inline distT="0" distB="0" distL="0" distR="0" wp14:anchorId="4F4DED3A" wp14:editId="7B92B9C9">
            <wp:extent cx="5591175" cy="6953250"/>
            <wp:effectExtent l="0" t="0" r="9525" b="0"/>
            <wp:docPr id="13" name="Picture 8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erer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3FF4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noProof/>
          <w:color w:val="444444"/>
          <w:kern w:val="0"/>
          <w:sz w:val="26"/>
          <w:szCs w:val="26"/>
          <w:lang w:eastAsia="en-GB"/>
          <w14:ligatures w14:val="none"/>
        </w:rPr>
        <w:lastRenderedPageBreak/>
        <w:drawing>
          <wp:inline distT="0" distB="0" distL="0" distR="0" wp14:anchorId="46EE4D8E" wp14:editId="3F220C0A">
            <wp:extent cx="4648200" cy="7372350"/>
            <wp:effectExtent l="0" t="0" r="0" b="0"/>
            <wp:docPr id="14" name="Picture 7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rer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5A12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noProof/>
          <w:color w:val="444444"/>
          <w:kern w:val="0"/>
          <w:sz w:val="26"/>
          <w:szCs w:val="26"/>
          <w:lang w:eastAsia="en-GB"/>
          <w14:ligatures w14:val="none"/>
        </w:rPr>
        <w:lastRenderedPageBreak/>
        <w:drawing>
          <wp:inline distT="0" distB="0" distL="0" distR="0" wp14:anchorId="1834B21A" wp14:editId="38A15A73">
            <wp:extent cx="5067300" cy="3571875"/>
            <wp:effectExtent l="0" t="0" r="0" b="9525"/>
            <wp:docPr id="15" name="Picture 6" descr="Cer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erer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23A2" w14:textId="77777777" w:rsidR="00667C4C" w:rsidRPr="00667C4C" w:rsidRDefault="00667C4C" w:rsidP="00667C4C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 xml:space="preserve"> Nr. 3</w:t>
      </w:r>
    </w:p>
    <w:p w14:paraId="52D2AF14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DAJ . . . . . .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 . . .</w:t>
      </w:r>
      <w:proofErr w:type="gramEnd"/>
    </w:p>
    <w:p w14:paraId="77938491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Nr.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înregistrare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. . . . . .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 . . .</w:t>
      </w:r>
      <w:proofErr w:type="gramEnd"/>
    </w:p>
    <w:p w14:paraId="71519F37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Data . . . . . . </w:t>
      </w:r>
      <w:proofErr w:type="gram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. . . .</w:t>
      </w:r>
      <w:proofErr w:type="gramEnd"/>
    </w:p>
    <w:p w14:paraId="6355FA96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SITUAŢIE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CENTRALIZATOARE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  <w:t xml:space="preserve">cu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beneficiarii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eligibili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2023-august 2024</w:t>
      </w: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  <w:t>(model)</w:t>
      </w:r>
    </w:p>
    <w:tbl>
      <w:tblPr>
        <w:tblW w:w="607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093"/>
        <w:gridCol w:w="704"/>
        <w:gridCol w:w="704"/>
        <w:gridCol w:w="1339"/>
        <w:gridCol w:w="1220"/>
      </w:tblGrid>
      <w:tr w:rsidR="00667C4C" w:rsidRPr="00667C4C" w14:paraId="718FD1B6" w14:textId="77777777" w:rsidTr="00667C4C">
        <w:trPr>
          <w:gridAfter w:val="3"/>
          <w:trHeight w:val="15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B4533" w14:textId="77777777" w:rsidR="00667C4C" w:rsidRPr="00667C4C" w:rsidRDefault="00667C4C" w:rsidP="00667C4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A74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17CEB4C" w14:textId="77777777" w:rsidTr="00667C4C">
        <w:trPr>
          <w:gridAfter w:val="3"/>
          <w:trHeight w:val="1035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D368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23D0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Bun de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plată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pentru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suma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de . . . . . . </w:t>
            </w:r>
            <w:proofErr w:type="gram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</w:t>
            </w:r>
            <w:proofErr w:type="gram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lei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Director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executiv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. . . . . . </w:t>
            </w:r>
            <w:proofErr w:type="gram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</w:t>
            </w:r>
            <w:proofErr w:type="gram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(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semnătura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)</w:t>
            </w:r>
          </w:p>
        </w:tc>
      </w:tr>
      <w:tr w:rsidR="00667C4C" w:rsidRPr="00667C4C" w14:paraId="1E46EDE4" w14:textId="77777777" w:rsidTr="00667C4C">
        <w:tblPrEx>
          <w:jc w:val="center"/>
        </w:tblPrEx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98B4" w14:textId="77777777" w:rsidR="00667C4C" w:rsidRPr="00667C4C" w:rsidRDefault="00667C4C" w:rsidP="00667C4C">
            <w:pPr>
              <w:shd w:val="clear" w:color="auto" w:fill="FFFFFF"/>
              <w:spacing w:after="0" w:line="240" w:lineRule="auto"/>
              <w:jc w:val="right"/>
              <w:rPr>
                <w:rFonts w:ascii="Calibri" w:eastAsia="Times New Roman" w:hAnsi="Calibri" w:cs="Calibri"/>
                <w:color w:val="44444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DFFE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F9BA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277B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73D4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C5CC0F4" w14:textId="77777777" w:rsidTr="00667C4C">
        <w:tblPrEx>
          <w:jc w:val="center"/>
        </w:tblPrEx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10B8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45A1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Specificare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0FD9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Cultura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D96D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Suprafaţa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calamitată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(ha)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1BD0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Valoare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totală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grant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(lei)</w:t>
            </w:r>
          </w:p>
        </w:tc>
      </w:tr>
      <w:tr w:rsidR="00667C4C" w:rsidRPr="00667C4C" w14:paraId="51B096A8" w14:textId="77777777" w:rsidTr="00667C4C">
        <w:tblPrEx>
          <w:jc w:val="center"/>
        </w:tblPrEx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3389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DEA1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(1)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B59C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(2)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F780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(3)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BF3B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(4)</w:t>
            </w:r>
          </w:p>
        </w:tc>
      </w:tr>
      <w:tr w:rsidR="00667C4C" w:rsidRPr="00667C4C" w14:paraId="710BC8FB" w14:textId="77777777" w:rsidTr="00667C4C">
        <w:tblPrEx>
          <w:jc w:val="center"/>
        </w:tblPrEx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07E3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65C3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Total general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judeţ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Număr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total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beneficiari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. . . . . . </w:t>
            </w:r>
            <w:proofErr w:type="gram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BB2C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Cultura 1 . . 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609C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20BC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1DBC1365" w14:textId="77777777" w:rsidTr="00667C4C">
        <w:tblPrEx>
          <w:jc w:val="center"/>
        </w:tblPrEx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A3BA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B3F098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D38C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Cultura 2 . . 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77DF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725A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20EC7C9" w14:textId="77777777" w:rsidTr="00667C4C">
        <w:tblPrEx>
          <w:jc w:val="center"/>
        </w:tblPrEx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0C51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6D69E9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EAB0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Cultura 3 . . 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4BB0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718C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035B0D33" w14:textId="77777777" w:rsidTr="00667C4C">
        <w:tblPrEx>
          <w:jc w:val="center"/>
        </w:tblPrEx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3520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C3E682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E6E0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F851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1A3E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 . . . . . . . .</w:t>
            </w:r>
          </w:p>
        </w:tc>
      </w:tr>
      <w:tr w:rsidR="00667C4C" w:rsidRPr="00667C4C" w14:paraId="62774BA9" w14:textId="77777777" w:rsidTr="00667C4C">
        <w:tblPrEx>
          <w:jc w:val="center"/>
        </w:tblPrEx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61D4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66E8FD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079B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Total general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AB9D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(X)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9900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(X)</w:t>
            </w:r>
          </w:p>
        </w:tc>
      </w:tr>
    </w:tbl>
    <w:p w14:paraId="159E7A8C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Certificat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punct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vedere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al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legalităţii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,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realităţii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regularităţii</w:t>
      </w:r>
      <w:proofErr w:type="spellEnd"/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6050"/>
      </w:tblGrid>
      <w:tr w:rsidR="00667C4C" w:rsidRPr="00667C4C" w14:paraId="02380F81" w14:textId="77777777" w:rsidTr="00667C4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012C4" w14:textId="77777777" w:rsidR="00667C4C" w:rsidRPr="00667C4C" w:rsidRDefault="00667C4C" w:rsidP="00667C4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D51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E2A3880" w14:textId="77777777" w:rsidTr="00667C4C">
        <w:trPr>
          <w:trHeight w:val="14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77F3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9038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Director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executiv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adjunct,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. . . . . . </w:t>
            </w:r>
            <w:proofErr w:type="gram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</w:t>
            </w:r>
            <w:proofErr w:type="gram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(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semnătura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)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Şef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serviciu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. . . . . . . . . .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(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semnătura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)</w:t>
            </w:r>
          </w:p>
        </w:tc>
      </w:tr>
    </w:tbl>
    <w:p w14:paraId="44C65F24" w14:textId="77777777" w:rsidR="00667C4C" w:rsidRPr="00667C4C" w:rsidRDefault="00667C4C" w:rsidP="00667C4C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>ANEXA</w:t>
      </w:r>
      <w:proofErr w:type="spellEnd"/>
      <w:r w:rsidRPr="00667C4C">
        <w:rPr>
          <w:rFonts w:ascii="Calibri" w:eastAsia="Times New Roman" w:hAnsi="Calibri" w:cs="Calibri"/>
          <w:b/>
          <w:bCs/>
          <w:color w:val="2A76A7"/>
          <w:kern w:val="0"/>
          <w:sz w:val="26"/>
          <w:szCs w:val="26"/>
          <w:lang w:eastAsia="en-GB"/>
          <w14:ligatures w14:val="none"/>
        </w:rPr>
        <w:t xml:space="preserve"> Nr. 4</w:t>
      </w:r>
    </w:p>
    <w:p w14:paraId="093CBD5A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MINISTERUL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AGRICULTURII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DEZVOLTĂRII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RURALE</w:t>
      </w:r>
      <w:proofErr w:type="spellEnd"/>
    </w:p>
    <w:p w14:paraId="7A38CDEE" w14:textId="77777777" w:rsidR="00667C4C" w:rsidRPr="00667C4C" w:rsidRDefault="00667C4C" w:rsidP="00667C4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Direcţia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generală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buget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finanţe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şi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fonduri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europene</w:t>
      </w:r>
      <w:proofErr w:type="spellEnd"/>
    </w:p>
    <w:p w14:paraId="7041120D" w14:textId="77777777" w:rsidR="00667C4C" w:rsidRPr="00667C4C" w:rsidRDefault="00667C4C" w:rsidP="00667C4C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Calibri"/>
          <w:color w:val="333333"/>
          <w:kern w:val="0"/>
          <w:sz w:val="26"/>
          <w:szCs w:val="26"/>
          <w:lang w:eastAsia="en-GB"/>
          <w14:ligatures w14:val="none"/>
        </w:rPr>
      </w:pP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u w:val="single"/>
          <w:lang w:eastAsia="en-GB"/>
          <w14:ligatures w14:val="none"/>
        </w:rPr>
        <w:t xml:space="preserve">Se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u w:val="single"/>
          <w:lang w:eastAsia="en-GB"/>
          <w14:ligatures w14:val="none"/>
        </w:rPr>
        <w:t>aprobă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u w:val="single"/>
          <w:lang w:eastAsia="en-GB"/>
          <w14:ligatures w14:val="none"/>
        </w:rPr>
        <w:t>.</w:t>
      </w:r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br/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Ordonator</w:t>
      </w:r>
      <w:proofErr w:type="spellEnd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 xml:space="preserve"> principal de </w:t>
      </w:r>
      <w:proofErr w:type="spellStart"/>
      <w:r w:rsidRPr="00667C4C">
        <w:rPr>
          <w:rFonts w:ascii="Calibri" w:eastAsia="Times New Roman" w:hAnsi="Calibri" w:cs="Calibri"/>
          <w:color w:val="444444"/>
          <w:kern w:val="0"/>
          <w:sz w:val="26"/>
          <w:szCs w:val="26"/>
          <w:lang w:eastAsia="en-GB"/>
          <w14:ligatures w14:val="none"/>
        </w:rPr>
        <w:t>credite</w:t>
      </w:r>
      <w:proofErr w:type="spellEnd"/>
    </w:p>
    <w:p w14:paraId="0B5E80D3" w14:textId="77777777" w:rsidR="00667C4C" w:rsidRPr="00667C4C" w:rsidRDefault="00667C4C" w:rsidP="00667C4C">
      <w:pPr>
        <w:shd w:val="clear" w:color="auto" w:fill="FFFFFF"/>
        <w:spacing w:after="15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26"/>
          <w:szCs w:val="26"/>
          <w:lang w:eastAsia="en-GB"/>
          <w14:ligatures w14:val="none"/>
        </w:rPr>
      </w:pP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SITUAŢIE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CENTRALIZATOARE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  <w:t xml:space="preserve">cu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sumele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aferente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grantului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care se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acordă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producătorilor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pentru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culturi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agricole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afectate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de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seceta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pedologică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din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perioada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</w:t>
      </w:r>
      <w:proofErr w:type="spellStart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>septembrie</w:t>
      </w:r>
      <w:proofErr w:type="spellEnd"/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t xml:space="preserve"> 2023-august 2024</w:t>
      </w:r>
      <w:r w:rsidRPr="00667C4C">
        <w:rPr>
          <w:rFonts w:ascii="Calibri" w:eastAsia="Times New Roman" w:hAnsi="Calibri" w:cs="Calibri"/>
          <w:b/>
          <w:bCs/>
          <w:color w:val="48B7E6"/>
          <w:kern w:val="0"/>
          <w:sz w:val="26"/>
          <w:szCs w:val="26"/>
          <w:lang w:eastAsia="en-GB"/>
          <w14:ligatures w14:val="none"/>
        </w:rPr>
        <w:br/>
        <w:t>(model)</w:t>
      </w:r>
    </w:p>
    <w:tbl>
      <w:tblPr>
        <w:tblW w:w="87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472"/>
        <w:gridCol w:w="472"/>
        <w:gridCol w:w="2043"/>
        <w:gridCol w:w="2283"/>
        <w:gridCol w:w="1727"/>
        <w:gridCol w:w="1727"/>
      </w:tblGrid>
      <w:tr w:rsidR="00667C4C" w:rsidRPr="00667C4C" w14:paraId="194C1655" w14:textId="77777777" w:rsidTr="00667C4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0DB1F" w14:textId="77777777" w:rsidR="00667C4C" w:rsidRPr="00667C4C" w:rsidRDefault="00667C4C" w:rsidP="00667C4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2FE2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C88A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3B69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016E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0C5DB332" w14:textId="77777777" w:rsidTr="00667C4C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1700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2A7E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Nr.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crt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F7AE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Judeţul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B5FD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Nr. de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beneficiari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8861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Valoarea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grantului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cuvenit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>(lei)</w:t>
            </w:r>
          </w:p>
        </w:tc>
      </w:tr>
      <w:tr w:rsidR="00667C4C" w:rsidRPr="00667C4C" w14:paraId="0DBC50E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0428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52C2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(0)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CB33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(1)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3E89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(2)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E0D9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(3)</w:t>
            </w:r>
          </w:p>
        </w:tc>
      </w:tr>
      <w:tr w:rsidR="00667C4C" w:rsidRPr="00667C4C" w14:paraId="224B70DE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912E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6DEF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57D2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Alba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F3AE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4764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4BAE5A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C91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06C6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B2DE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Arad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C5D7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A6A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76A49CCE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A009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5FD3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02F0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Argeş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9DA2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3724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63856F8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08AE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D10A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425D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Bacău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B8C4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1795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194806C3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D3E9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5FC5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D9FB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Bihor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6209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C9E7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172F9E9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81DE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060E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1DE5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Bistriţa-Năsăud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CD0A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D975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A7A6C3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A204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6472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53FF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Botoşani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3F6E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374F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76ADBBF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7317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1326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7EF5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Braşov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5A67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0C0A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4FB131E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D008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9580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439A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Brăila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5700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674C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25F4488F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9467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1BBB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A5B6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Buzău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2548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21A3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F2F5739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05F9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085F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11C1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Caraş</w:t>
            </w:r>
            <w:proofErr w:type="spellEnd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-Severin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F8EB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420E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4317CC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1F19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EC79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B9E2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Călăraşi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E539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AC98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F2F2B6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BF3F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B549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953D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Cluj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1316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1D46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8BDBDA8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18F3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F5D8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3371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Constanţa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558A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6DCB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0521BE26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1AED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C917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67B7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Covasna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C971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E4DF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3313A5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85AD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2F72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05A6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Dâmboviţa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9D77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C089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8D4A8C0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877D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9870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F272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Dolj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D37A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C64D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7E8D56F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AAD2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0D3F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03957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Galaţi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4A88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3234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5AAA131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D814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5EBF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B4FA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Giurgiu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AC3F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C5A2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D1BDB00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6C2A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618B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F307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Gorj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26AF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D7E1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0F760D3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D7F3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74B1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945F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Harghita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EEC6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0F28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59BFC81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233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CBB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D8B7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Hunedoara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FEB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5B20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2FEE1CE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2B6A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6240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1B21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Ialomiţa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962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FC53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CDBD40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6E9A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C6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CE1C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Iaşi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EC6B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A4D7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048EBC4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1268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F955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0AFA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Ilfov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E6D7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AF82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7B3A695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A781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CF07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168A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Maramureş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9D38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570C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2F1DEA70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A7AD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78CB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DC63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Mehedinţi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ACB6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A25E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36C12EA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78F6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5053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C0B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Mureş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1910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6CAD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158B7BF0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81A4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6076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7489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Neamţ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9D0C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C4EE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6EE17AC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6A6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3A39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7B2F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Olt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9A92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A83C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D49DCF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F0C0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D73F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765A9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Prahova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3D971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97DC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B9B054C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65C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10A1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C089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Satu Mare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3521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11B2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4ABD9C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730E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C680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FF1BF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Sălaj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9E30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6AD86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EFBFCE7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F6B82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C327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9E49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Sibiu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24B84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7F3A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7DA1BB4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2079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948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4D29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Suceava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0D8B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755F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22884492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5B7F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F1D9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F707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Teleorman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B598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776E0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552B550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5CA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EFED7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3351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Timiş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90CB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9ECB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84BDCFA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A46AF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6908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4372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Tulcea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3D8E3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44585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1296051B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93E9C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3ADB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BB3B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Vaslui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A982B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CB34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7C7E152D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EA8A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8482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529A8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Vâlcea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BE6EC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6E43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71D6939F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6194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F128D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7965E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Vrancea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08A9D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26341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4304B379" w14:textId="77777777" w:rsidTr="00667C4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A20E3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C947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921BA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spell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FBDC2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F5F38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2797DA3" w14:textId="77777777" w:rsidTr="00667C4C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5F16A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B3BC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16469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(x)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5FA8B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(x)</w:t>
            </w:r>
          </w:p>
        </w:tc>
      </w:tr>
      <w:tr w:rsidR="00667C4C" w:rsidRPr="00667C4C" w14:paraId="06F6A5FC" w14:textId="77777777" w:rsidTr="00667C4C">
        <w:trPr>
          <w:gridAfter w:val="1"/>
          <w:trHeight w:val="15"/>
          <w:jc w:val="center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5B991" w14:textId="77777777" w:rsidR="00667C4C" w:rsidRPr="00667C4C" w:rsidRDefault="00667C4C" w:rsidP="00667C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CEA55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67C4C" w:rsidRPr="00667C4C" w14:paraId="67B96B15" w14:textId="77777777" w:rsidTr="00667C4C">
        <w:trPr>
          <w:gridAfter w:val="1"/>
          <w:trHeight w:val="405"/>
          <w:jc w:val="center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A65A0" w14:textId="77777777" w:rsidR="00667C4C" w:rsidRPr="00667C4C" w:rsidRDefault="00667C4C" w:rsidP="00667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983FE" w14:textId="77777777" w:rsidR="00667C4C" w:rsidRPr="00667C4C" w:rsidRDefault="00667C4C" w:rsidP="0066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Director general,</w:t>
            </w:r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br/>
              <w:t xml:space="preserve">. . . . . . </w:t>
            </w:r>
            <w:proofErr w:type="gramStart"/>
            <w:r w:rsidRPr="00667C4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. . . .</w:t>
            </w:r>
            <w:proofErr w:type="gramEnd"/>
          </w:p>
        </w:tc>
      </w:tr>
    </w:tbl>
    <w:p w14:paraId="6C983F4D" w14:textId="77777777" w:rsidR="00000000" w:rsidRDefault="00000000"/>
    <w:sectPr w:rsidR="005E3362" w:rsidSect="00667C4C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4C"/>
    <w:rsid w:val="000C292D"/>
    <w:rsid w:val="000E2C44"/>
    <w:rsid w:val="00222E4A"/>
    <w:rsid w:val="00394A4F"/>
    <w:rsid w:val="00396E6C"/>
    <w:rsid w:val="004275B9"/>
    <w:rsid w:val="004D2E59"/>
    <w:rsid w:val="00543E60"/>
    <w:rsid w:val="00595328"/>
    <w:rsid w:val="00667C4C"/>
    <w:rsid w:val="006F3987"/>
    <w:rsid w:val="007B5A85"/>
    <w:rsid w:val="00B46378"/>
    <w:rsid w:val="00D87578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1609"/>
  <w15:chartTrackingRefBased/>
  <w15:docId w15:val="{0F928D59-0AD6-4E4B-B61B-2CEAE29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67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67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67C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C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67C4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67C4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67C4C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67C4C"/>
  </w:style>
  <w:style w:type="paragraph" w:customStyle="1" w:styleId="msonormal0">
    <w:name w:val="msonormal"/>
    <w:basedOn w:val="Normal"/>
    <w:rsid w:val="006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67C4C"/>
    <w:rPr>
      <w:b/>
      <w:bCs/>
    </w:rPr>
  </w:style>
  <w:style w:type="character" w:customStyle="1" w:styleId="js-ineffectstring">
    <w:name w:val="js-ineffectstring"/>
    <w:basedOn w:val="DefaultParagraphFont"/>
    <w:rsid w:val="00667C4C"/>
  </w:style>
  <w:style w:type="character" w:customStyle="1" w:styleId="js-calendar">
    <w:name w:val="js-calendar"/>
    <w:basedOn w:val="DefaultParagraphFont"/>
    <w:rsid w:val="00667C4C"/>
  </w:style>
  <w:style w:type="paragraph" w:customStyle="1" w:styleId="al">
    <w:name w:val="a_l"/>
    <w:basedOn w:val="Normal"/>
    <w:rsid w:val="006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67C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C4C"/>
    <w:rPr>
      <w:color w:val="800080"/>
      <w:u w:val="single"/>
    </w:rPr>
  </w:style>
  <w:style w:type="paragraph" w:customStyle="1" w:styleId="ac">
    <w:name w:val="a_c"/>
    <w:basedOn w:val="Normal"/>
    <w:rsid w:val="006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ar">
    <w:name w:val="a_r"/>
    <w:basedOn w:val="Normal"/>
    <w:rsid w:val="0066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9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tqmjwha4q/ordinul-nr-2844-2016-pentru-aprobarea-reglementarilor-contabile-conforme-cu-standardele-internationale-de-raportare-financiara?d=2024-10-17" TargetMode="External"/><Relationship Id="rId13" Type="http://schemas.openxmlformats.org/officeDocument/2006/relationships/hyperlink" Target="https://lege5.ro/App/Document/gy4diobx/legea-societatilor-nr-31-1990?d=2024-10-17" TargetMode="External"/><Relationship Id="rId18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176&amp;d=2024-10-17" TargetMode="External"/><Relationship Id="rId26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79&amp;d=2024-10-17" TargetMode="External"/><Relationship Id="rId39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51&amp;d=2024-10-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74&amp;d=2024-10-17" TargetMode="External"/><Relationship Id="rId34" Type="http://schemas.openxmlformats.org/officeDocument/2006/relationships/hyperlink" Target="https://lege5.ro/App/Document/g4ztkmrygm/codul-de-procedura-fiscala-din-2015?pid=81155068&amp;d=2024-10-17" TargetMode="External"/><Relationship Id="rId42" Type="http://schemas.openxmlformats.org/officeDocument/2006/relationships/image" Target="media/image1.jpeg"/><Relationship Id="rId7" Type="http://schemas.openxmlformats.org/officeDocument/2006/relationships/hyperlink" Target="https://lege5.ro/App/Document/gm2doojzgy/tratat-privind-functionarea-uniunii-europene?pid=64094662&amp;d=2024-10-17" TargetMode="External"/><Relationship Id="rId12" Type="http://schemas.openxmlformats.org/officeDocument/2006/relationships/hyperlink" Target="https://lege5.ro/App/Document/gy3denjt/legea-nr-36-1991-privind-societatile-agricole-si-alte-forme-de-asociere-in-agricultura?d=2024-10-17" TargetMode="External"/><Relationship Id="rId17" Type="http://schemas.openxmlformats.org/officeDocument/2006/relationships/hyperlink" Target="https://lege5.ro/App/Document/gm3dqmbvgqyq/ordinul-nr-97-63-2020-pentru-aprobarea-regulamentului-privind-gestionarea-situatiilor-de-urgenta-generate-de-fenomene-meteorologice-periculoase-avand-ca-efect-producerea-secetei-pedologice?d=2024-10-17" TargetMode="External"/><Relationship Id="rId25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192&amp;d=2024-10-17" TargetMode="External"/><Relationship Id="rId33" Type="http://schemas.openxmlformats.org/officeDocument/2006/relationships/hyperlink" Target="https://lege5.ro/App/Document/g4ztkmrygi/legea-nr-207-2015-privind-codul-de-procedura-fiscala?d=2024-10-17" TargetMode="External"/><Relationship Id="rId38" Type="http://schemas.openxmlformats.org/officeDocument/2006/relationships/hyperlink" Target="https://lege5.ro/App/Document/gu3dsojy/legea-contenciosului-administrativ-nr-554-2004?d=2024-10-1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ge5.ro/App/Document/gu3tamzq/legea-cooperatiei-agricole-nr-566-2004?d=2024-10-17" TargetMode="External"/><Relationship Id="rId20" Type="http://schemas.openxmlformats.org/officeDocument/2006/relationships/hyperlink" Target="https://lege5.ro/App/Document/ge2tqnjygu4to/hotararea-nr-1236-2024-privind-alocarea-unei-sume-din-fondul-de-rezerva-bugetara-la-dispozitia-guvernului-prevazut-in-bugetul-de-stat-pe-anul-2024-pentru-suplimentarea-bugetului-ministerului-agricultu?d=2024-10-17" TargetMode="External"/><Relationship Id="rId29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88&amp;d=2024-10-17" TargetMode="External"/><Relationship Id="rId41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88&amp;d=2024-10-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3dqmbvgqyq/ordinul-nr-97-63-2020-pentru-aprobarea-regulamentului-privind-gestionarea-situatiilor-de-urgenta-generate-de-fenomene-meteorologice-periculoase-avand-ca-efect-producerea-secetei-pedologice?d=2024-10-17" TargetMode="External"/><Relationship Id="rId11" Type="http://schemas.openxmlformats.org/officeDocument/2006/relationships/hyperlink" Target="https://lege5.ro/App/Document/geztcobyhayq/legea-nr-182-2016-pentru-aprobarea-ordonantei-de-urgenta-a-guvernului-nr-44-2008-privind-desfasurarea-activitatilor-economice-de-catre-persoanele-fizice-autorizate-intreprinderile-individuale-si-intre?d=2024-10-17" TargetMode="External"/><Relationship Id="rId24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184&amp;d=2024-10-17" TargetMode="External"/><Relationship Id="rId32" Type="http://schemas.openxmlformats.org/officeDocument/2006/relationships/hyperlink" Target="https://lege5.ro/App/Document/geydsnjzgu/legea-nr-500-2002-privind-finantele-publice?d=2024-10-17" TargetMode="External"/><Relationship Id="rId37" Type="http://schemas.openxmlformats.org/officeDocument/2006/relationships/hyperlink" Target="https://lege5.ro/App/Document/g4ztkmrygi/legea-nr-207-2015-privind-codul-de-procedura-fiscala?d=2024-10-17" TargetMode="External"/><Relationship Id="rId40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71&amp;d=2024-10-1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ege5.ro/App/Document/gm3dqmbvgqyq/ordinul-nr-97-63-2020-pentru-aprobarea-regulamentului-privind-gestionarea-situatiilor-de-urgenta-generate-de-fenomene-meteorologice-periculoase-avand-ca-efect-producerea-secetei-pedologice?d=2024-10-17" TargetMode="External"/><Relationship Id="rId15" Type="http://schemas.openxmlformats.org/officeDocument/2006/relationships/hyperlink" Target="https://lege5.ro/App/Document/haytcnbw/legea-nr-338-2005-pentru-aprobarea-ordonantei-guvernului-nr-37-2005-privind-recunoasterea-si-functionarea-grupurilor-de-producatori-pentru-comercializarea-produselor-agricole-si-silvice?d=2024-10-17" TargetMode="External"/><Relationship Id="rId23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29&amp;d=2024-10-17" TargetMode="External"/><Relationship Id="rId28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39&amp;d=2024-10-17" TargetMode="External"/><Relationship Id="rId36" Type="http://schemas.openxmlformats.org/officeDocument/2006/relationships/hyperlink" Target="https://lege5.ro/App/Document/g4ztkmrygm/codul-de-procedura-fiscala-din-2015?pid=81154311&amp;d=2024-10-17" TargetMode="External"/><Relationship Id="rId10" Type="http://schemas.openxmlformats.org/officeDocument/2006/relationships/hyperlink" Target="https://lege5.ro/App/Document/geytsnrugi/ordonanta-de-urgenta-nr-44-2008-privind-desfasurarea-activitatilor-economice-de-catre-persoanele-fizice-autorizate-intreprinderile-individuale-si-intreprinderile-familiale?d=2024-10-17" TargetMode="External"/><Relationship Id="rId19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71&amp;d=2024-10-17" TargetMode="External"/><Relationship Id="rId31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192&amp;d=2024-10-17" TargetMode="External"/><Relationship Id="rId44" Type="http://schemas.openxmlformats.org/officeDocument/2006/relationships/image" Target="media/image3.jpeg"/><Relationship Id="rId4" Type="http://schemas.openxmlformats.org/officeDocument/2006/relationships/hyperlink" Target="https://lege5.ro/App/Document/gm3dqmbvgqyq/ordinul-nr-97-63-2020-pentru-aprobarea-regulamentului-privind-gestionarea-situatiilor-de-urgenta-generate-de-fenomene-meteorologice-periculoase-avand-ca-efect-producerea-secetei-pedologice?d=2024-10-17" TargetMode="External"/><Relationship Id="rId9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71&amp;d=2024-10-17" TargetMode="External"/><Relationship Id="rId14" Type="http://schemas.openxmlformats.org/officeDocument/2006/relationships/hyperlink" Target="https://lege5.ro/App/Document/g4ytmojw/ordonanta-nr-37-2005-privind-recunoasterea-si-functionarea-grupurilor-si-organizatiilor-de-producatori-pentru-comercializarea-produselor-agricole-si-silvice?d=2024-10-17" TargetMode="External"/><Relationship Id="rId22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274&amp;d=2024-10-17" TargetMode="External"/><Relationship Id="rId27" Type="http://schemas.openxmlformats.org/officeDocument/2006/relationships/hyperlink" Target="https://lege5.ro/App/Document/gu3dsojy/legea-contenciosului-administrativ-nr-554-2004?d=2024-10-17" TargetMode="External"/><Relationship Id="rId30" Type="http://schemas.openxmlformats.org/officeDocument/2006/relationships/hyperlink" Target="https://lege5.ro/App/Document/ge2tqojwgu4dg/ordonanta-de-urgenta-nr-120-2024-privind-instituirea-unei-scheme-de-ajutor-de-stat-sub-forma-de-grant-acordat-producatorilor-agricoli-pentru-culturi-agricole-afectate-de-seceta-pedologica-din-perioada?pid=594923184&amp;d=2024-10-17" TargetMode="External"/><Relationship Id="rId35" Type="http://schemas.openxmlformats.org/officeDocument/2006/relationships/hyperlink" Target="https://lege5.ro/App/Document/g4ztkmrygi/legea-nr-207-2015-privind-codul-de-procedura-fiscala?d=2024-10-17" TargetMode="External"/><Relationship Id="rId4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8307</Words>
  <Characters>47352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2024-10-17T05:54:00Z</dcterms:created>
  <dcterms:modified xsi:type="dcterms:W3CDTF">2024-10-17T06:11:00Z</dcterms:modified>
</cp:coreProperties>
</file>